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华文楷体" w:hAnsi="华文楷体" w:eastAsia="华文楷体" w:cs="华文楷体"/>
          <w:b/>
          <w:bCs/>
          <w:sz w:val="36"/>
          <w:szCs w:val="40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40"/>
          <w:lang w:eastAsia="zh-CN"/>
        </w:rPr>
        <w:t>传媒与社会发展课程大纲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第一部分 16课时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授课教师：曾润喜 教授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课程形式：</w:t>
      </w:r>
      <w:r>
        <w:rPr>
          <w:rFonts w:hint="eastAsia"/>
          <w:lang w:eastAsia="zh-CN"/>
        </w:rPr>
        <w:t>授课与研讨，以研讨为主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阅读材料：</w:t>
      </w:r>
      <w:r>
        <w:rPr>
          <w:rFonts w:hint="eastAsia"/>
          <w:lang w:eastAsia="zh-CN"/>
        </w:rPr>
        <w:t>课前需要阅读所给材料，并结合所给问题进行思考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eastAsia="zh-CN"/>
        </w:rPr>
        <w:t>课堂展示：</w:t>
      </w:r>
      <w:r>
        <w:rPr>
          <w:rFonts w:hint="eastAsia"/>
          <w:b w:val="0"/>
          <w:bCs w:val="0"/>
          <w:lang w:eastAsia="zh-CN"/>
        </w:rPr>
        <w:t>每位同学选择某一个问题，结合</w:t>
      </w:r>
      <w:r>
        <w:rPr>
          <w:rFonts w:hint="eastAsia"/>
          <w:b w:val="0"/>
          <w:bCs w:val="0"/>
          <w:lang w:val="en-US" w:eastAsia="zh-CN"/>
        </w:rPr>
        <w:t>PPT</w:t>
      </w:r>
      <w:r>
        <w:rPr>
          <w:rFonts w:hint="eastAsia"/>
          <w:b w:val="0"/>
          <w:bCs w:val="0"/>
          <w:lang w:eastAsia="zh-CN"/>
        </w:rPr>
        <w:t>进行课堂展示，时间约为</w:t>
      </w:r>
      <w:r>
        <w:rPr>
          <w:rFonts w:hint="eastAsia"/>
          <w:b w:val="0"/>
          <w:bCs w:val="0"/>
          <w:lang w:val="en-US" w:eastAsia="zh-CN"/>
        </w:rPr>
        <w:t>20分钟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互动交流：</w:t>
      </w:r>
      <w:r>
        <w:rPr>
          <w:rFonts w:hint="eastAsia"/>
          <w:b w:val="0"/>
          <w:bCs w:val="0"/>
          <w:lang w:val="en-US" w:eastAsia="zh-CN"/>
        </w:rPr>
        <w:t>每位同学在每一个问题展示结束后，发表对该问题的看法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课程作业：</w:t>
      </w:r>
      <w:r>
        <w:rPr>
          <w:rFonts w:hint="eastAsia"/>
          <w:lang w:eastAsia="zh-CN"/>
        </w:rPr>
        <w:t>每位同学在该次课程结束后，围绕自己所选定的讨论问题撰写一篇</w:t>
      </w:r>
      <w:r>
        <w:rPr>
          <w:rFonts w:hint="eastAsia"/>
          <w:lang w:val="en-US" w:eastAsia="zh-CN"/>
        </w:rPr>
        <w:t>3000字左右的研究报告</w:t>
      </w:r>
      <w:r>
        <w:rPr>
          <w:rFonts w:hint="eastAsia"/>
          <w:lang w:eastAsia="zh-CN"/>
        </w:rPr>
        <w:t>（注重学术规范，采用国标文献格式，建议课堂展示时进行录音，再使用声音转文字功能）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 w:eastAsia="宋体"/>
          <w:b/>
          <w:bCs/>
          <w:highlight w:val="lightGray"/>
          <w:lang w:eastAsia="zh-CN"/>
        </w:rPr>
      </w:pPr>
      <w:r>
        <w:rPr>
          <w:rFonts w:hint="eastAsia"/>
          <w:b/>
          <w:bCs/>
          <w:highlight w:val="lightGray"/>
          <w:lang w:eastAsia="zh-CN"/>
        </w:rPr>
        <w:t>第一次课（</w:t>
      </w:r>
      <w:r>
        <w:rPr>
          <w:rFonts w:hint="eastAsia"/>
          <w:b/>
          <w:bCs/>
          <w:highlight w:val="lightGray"/>
          <w:lang w:val="en-US" w:eastAsia="zh-CN"/>
        </w:rPr>
        <w:t>10月14日</w:t>
      </w:r>
      <w:r>
        <w:rPr>
          <w:rFonts w:hint="eastAsia"/>
          <w:b/>
          <w:bCs/>
          <w:highlight w:val="lightGray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政治生态系统：（一）政府与社会；（二）政府与媒体；（三）媒体与社会</w:t>
      </w:r>
    </w:p>
    <w:p>
      <w:pPr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阅读材料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宋世明.从公共行政迈向公共管理——当代西方行政改革的基本发展趋势[J].国家行政学院学报,2018(01):120-126+151-152.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吴春梅,石绍成.政治—行政关系的知识社会学分析[J].行政论坛,2010,17(04):26-29.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崔会敏.古德诺的政治行政二分论解读[J].行政论坛,2009,16(03):6-9.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王枫云.从新公共管理到新公共服务——西方公共行政理论的最新发展[J].行政论坛,2006(01):91-93.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赵景来.西方公共管理与公共行政研究述要——兼及对中国公共行政体制改革的影响[J].国家行政学院学报,2004(05):82-85.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胡象明.政治与行政两分法:思想渊源及其评价[J].中国行政管理,1999(11):3-5.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苏曦凌.政府与社会组织关系演进的历史逻辑[J].政治学研究,2020(02):76-89+127-128.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竺乾威.理解公共行政的新维度：政府与社会的互动[J].中国行政管理,2020(03):45-51.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郁建兴,滕红燕.政府培育社会组织的模式选择:一个分析框架[J].政治学研究,2018(06):42-52+127.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郁建兴,沈永东.调适性合作:十八大以来中国政府与社会组织关系的策略性变革[J].政治学研究,2017(03):34-41+126.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周庆智.从地方政府创新看国家与社会关系的变化[J].政治学研究,2014(02):80-89.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管兵.城市政府结构与社会组织发育[J].社会学研究,2013,28(04):129-153+244-245.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胡荣,胡康,温莹莹.社会资本、政府绩效与城市居民对政府的信任[J].社会学研究,2011,25(01):96-117+244.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陈相雨.政府形象传播:畸变、批判及面子技术——一种本土社会心理学分析视角[J].政治学研究,2010(04):50-57.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范明林.非政府组织与政府的互动关系——基于法团主义和市民社会视角的比较个案研究[J].社会学研究,2010,25(03):159-176+245.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曹正汉,史晋川.中国民间社会的理:对地方政府的非正式约束——一个法与理冲突的案例及其一般意义[J].社会学研究,2008(03):92-121+244.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李友梅,肖瑛,黄晓春.当代中国社会建设的公共性困境及其超越[J].中国社会科学,2012(04):125-139+207.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徐晓林,周立新.数字治理在城市政府善治中的体系构建[J].管理世界,2004(11):140-141.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陈国权,孙韶阳.线上政府:网络社会治理的公权力体系[J].中国行政管理,2017(07):34-40.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戴长征,鲍静.数字政府治理——基于社会形态演变进程的考察[J].中国行政管理,2017(09):21-27.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吕程平.“理”的逻辑:认同、交互与抗争——基于A省网民拆迁类留言的分析[J].管理世界,2015(02):82-90.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曹洵,方若琳,杜楠楠.政务新媒体在服务型政府转型中的“边界调适”与“角色冲突”——以广东省政务微信为例[J].电子政务,2018(11):12-22.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史安斌,邱伟怡.社交媒体时代政府部门的危机传播与情感引导——以深圳滑坡事故为例[J].现代传播(中国传媒大学学报),2018,40(04):34-41.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向芬.野火之后:台湾地区媒体市场、政府管控与新闻自由[J].现代传播(中国传媒大学学报),2016,38(06):37-43.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于晶,杨晨.政媒关系生态:政府与媒体在导播间中幕后角力过程——以“政风行风热线”栏目为例[J].电子政务,2016(05):35-40.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曾庆香,强德华.论群体性事件舆论引导中政府与传统媒体的博弈[J].现代传播(中国传媒大学学报),2012,34(05):43-46+52.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林爱珺.在信息公开中建构政府、媒体、公众之间的良性互动关系[J].现代传播-中国传媒大学学报,2009(02):51-54.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赵文荟.美国政府与媒体关系给中国新闻管理的启示[J].现代传播(中国传媒大学学报),2007(05):58-61.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叶再春.现代性视域中的台湾媒体与政府——以“TVBSVS台湾当局”为例[J].现代传播(中国传媒大学学报),2006(03):61-63+67.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朱江丽.新媒体推动公民参与社会治理:现状、问题与对策[J].中国行政管理,2017(06):49-53.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黄河,王芳菲.新媒体如何影响社会管理——兼论新媒体在社会管理中的角色与功能[J].国际新闻界,2013,35(01):100-109.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陶文杰,金占明.企业社会责任信息披露、媒体关注度与企业财务绩效关系研究[J].管理学报,2012,9(08):1225-1232.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靖鸣,臧诚.媒介融合时代信息流动模式、分众化传播及媒体对社会凝聚力的影响[J].新闻与传播研究,2011,18(05):34-42+110.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张春华.传媒体制、媒体社会责任与公共利益——基于美国广播电视体制变迁的反思[J].国际新闻界,2011,33(03):58-64.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徐莉萍,辛宇,祝继高.媒体关注与上市公司社会责任之履行——基于汶川地震捐款的实证研究[J].管理世界,2011(03):135-143+188.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师曾志.沟通与对话:公民社会与媒体公共空间——网络群体性事件形成机制的理论基础[J].国际新闻界,2009(12):81-86.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陈力丹.试看传播媒介如何影响社会结构——从古登堡到“第五媒体”[J].国际新闻界,2004(06):33-35.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董石桃,蒋鸽.渐进性调适:公众议程、网媒议程和政策议程互动的演进过程分析——以“网约车”政策出台为研究对象[J].中国行政管理,2020(01):99-105.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杨君,郑雪,王韵琪.公众议程、媒体议程与政府工作报告的政策沟通过程——基于中国19个主要城市的观察[J].上海行政学院学报,2018,19(06):78-88.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赵静,薛澜.回应式议程设置模式——基于中国公共政策转型一类案例的分析[J].政治学研究,2017(03):42-51+126.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邓喆,孟庆国.自媒体的议程设置:公共政策形成的新路径[J].公共管理学报,2016,13(02):14-22+153.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邝艳华,叶林,张俊.政策议程与媒体议程关系研究——基于1982至2006年农业政策和媒体报道的实证分析[J].公共管理学报,2015,12(04):39-46+154-155.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高宪春.新媒介环境下议程设置理论研究新进路的分析[J].新闻与传播研究,2011,18(01):12-20+109.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王绍光.中国公共政策议程设置的模式[J].中国社会科学,2006(05):86-99+207.</w:t>
      </w:r>
    </w:p>
    <w:p>
      <w:pPr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讨论问题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政治—行政—新公共行政—新公共管理—新公共服务的演变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政府如何治理社会，如何调适政府和社会的关系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数字时代政府如何改善治理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当代社会的政府与媒体关系的应然与实然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媒介如何影响社会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公共议程、媒介议程与政策议程的关系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="宋体"/>
          <w:b/>
          <w:bCs/>
          <w:highlight w:val="lightGray"/>
          <w:lang w:eastAsia="zh-CN"/>
        </w:rPr>
      </w:pPr>
      <w:r>
        <w:rPr>
          <w:rFonts w:hint="eastAsia"/>
          <w:b/>
          <w:bCs/>
          <w:highlight w:val="lightGray"/>
          <w:lang w:eastAsia="zh-CN"/>
        </w:rPr>
        <w:t>第三次课（</w:t>
      </w:r>
      <w:r>
        <w:rPr>
          <w:rFonts w:hint="eastAsia"/>
          <w:b/>
          <w:bCs/>
          <w:highlight w:val="lightGray"/>
          <w:lang w:val="en-US" w:eastAsia="zh-CN"/>
        </w:rPr>
        <w:t>10月28日</w:t>
      </w:r>
      <w:r>
        <w:rPr>
          <w:rFonts w:hint="eastAsia"/>
          <w:b/>
          <w:bCs/>
          <w:highlight w:val="lightGray"/>
          <w:lang w:eastAsia="zh-CN"/>
        </w:rPr>
        <w:t>）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重大</w:t>
      </w:r>
      <w:r>
        <w:rPr>
          <w:rFonts w:hint="eastAsia"/>
          <w:lang w:eastAsia="zh-CN"/>
        </w:rPr>
        <w:t>社会突发</w:t>
      </w:r>
      <w:r>
        <w:rPr>
          <w:rFonts w:hint="eastAsia"/>
        </w:rPr>
        <w:t>事件中的媒体角色与作用：（一）重大社会</w:t>
      </w:r>
      <w:r>
        <w:rPr>
          <w:rFonts w:hint="eastAsia"/>
          <w:lang w:eastAsia="zh-CN"/>
        </w:rPr>
        <w:t>突发</w:t>
      </w:r>
      <w:r>
        <w:rPr>
          <w:rFonts w:hint="eastAsia"/>
        </w:rPr>
        <w:t>事件的信息传播动力；（二）重大社会</w:t>
      </w:r>
      <w:r>
        <w:rPr>
          <w:rFonts w:hint="eastAsia"/>
          <w:lang w:eastAsia="zh-CN"/>
        </w:rPr>
        <w:t>突发</w:t>
      </w:r>
      <w:r>
        <w:rPr>
          <w:rFonts w:hint="eastAsia"/>
        </w:rPr>
        <w:t>事件的</w:t>
      </w:r>
      <w:r>
        <w:rPr>
          <w:rFonts w:hint="eastAsia"/>
          <w:lang w:eastAsia="zh-CN"/>
        </w:rPr>
        <w:t>媒体报道和</w:t>
      </w:r>
      <w:r>
        <w:rPr>
          <w:rFonts w:hint="eastAsia"/>
        </w:rPr>
        <w:t>信息管理；（三）重大社会</w:t>
      </w:r>
      <w:r>
        <w:rPr>
          <w:rFonts w:hint="eastAsia"/>
          <w:lang w:eastAsia="zh-CN"/>
        </w:rPr>
        <w:t>突发</w:t>
      </w:r>
      <w:r>
        <w:rPr>
          <w:rFonts w:hint="eastAsia"/>
        </w:rPr>
        <w:t>事件的</w:t>
      </w:r>
      <w:r>
        <w:rPr>
          <w:rFonts w:hint="eastAsia"/>
          <w:lang w:eastAsia="zh-CN"/>
        </w:rPr>
        <w:t>媒介表现差异</w:t>
      </w:r>
    </w:p>
    <w:p>
      <w:pPr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阅读材料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涂光晋,刘双庆.社交媒体环境下医患暴力冲突事件的媒介呈现研究[J].国际新闻界,2015,37(11):33-47.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李春雷,贾立平.突发事件中传统媒体沟通党媒意见与网上舆论的进路研究——基于“什邡事件”的实地调研分析[J].国际新闻界,2015,37(11):90-104.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高扬,吴锋.突发事件中美国警方社交媒体的危机传播策略——基于波士顿马拉松爆炸案和弗格森案的比较研究[J].情报杂志,2015,34(10):78-84.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魏永征,代雅静.融合媒体时代突发事件的信息传播模式嬗变——以天津港8·12爆炸事故为例的分析[J].新闻界,2015(18):19-25.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夏志杰,吴忠,栾东庆.基于社会化媒体的突发事件应急信息共享研究综述[J].情报杂志,2013,32(10):122-126+121.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于建嵘.自媒体时代公众参与的困境与破解路径——以2012年重大群体性事件为例[J].上海大学学报(社会科学版),2013,30(04):1-8.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刘兆明.社会化媒体时代的突发事件新闻传播图景——波士顿爆炸案的传播分析与启示[J].新闻记者,2013(06):65-70.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丁柏铨.新媒体语境中重大公共危机事件舆论触发研究[J].新闻大学,2012(04):109-117.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薛可,王舒瑶.议程注意周期模式下中美主流媒体对突发公共卫生事件的报道框架——以《人民日报》和《纽约时报》对禽流感的报道为例[J].国际新闻界,2012,34(06):30-35.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崔锋.突发事件中新闻媒体角色的审视[J].现代传播(中国传媒大学学报),2012,34(02):148-149.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芦何秋,胡晓.突发事件中传统媒体和新媒体的交互影响——以甬温动车事故为例[J].当代传播,2012(01):82-84.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熊艳,李常青,魏志华.媒体“轰动效应”:传导机制、经济后果与声誉惩戒——基于“霸王事件”的案例研究[J].管理世界,2011(10):125-140.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谢耘耕,徐颖.新媒体环境下突发公共事件的信源管理研究[J].新闻与传播研究,2011,18(04):58-67+110.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周葆华.突发公共事件中的媒体接触、公众参与与政治效能——以“厦门PX事件”为例的经验研究[J].开放时代,2011(05):123-140.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曾庆香,李蔚.解析传统媒体与新媒体对群体性事件的传播框架[J].当代传播,2011(01):48-50+54.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姚广宜.重大突发事件报道中的媒体应对[J].中国政法大学学报,2011(01):131-135+160.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陈健强,刘师健.论突发公共事件中政府-媒体-公众联动模式的制度化——以汶川抗震救灾为例[J].国际新闻界,2010,32(12):53-58.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陈虹,孙华艳.突发公共事件中的媒体议程互动——以“我爸是李刚”事件为例[J].新闻记者,2010(12):41-43.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周葆华.突发事件中的舆论生态及其影响:新媒体事件的视角[J].中国地质大学学报(社会科学版),2010,10(03):16-20.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王宇.食品安全事件的媒体呈现:现状、问题及对策——以《人民日报》相关报道为例[J].现代传播(中国传媒大学学报),2010(04):32-35.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林鸿.在突发事件报道中新闻媒体责任的反思——杭州地铁塌陷事件报道的分析[J].现代传播-中国传媒大学学报,2009(02):141-142.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任金州,袁玉兴,刘玮.重大突发事件直播：电视媒体的态度与责任[J].现代传播(中国传媒大学学报),2008(04):59-60.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雷蔚真,王天娇.新媒体在重大突发性灾害事件中的应用——以汶川地震中的信息需求与运用为例[J].国际新闻界,2008(06):39-44.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黎慈.英国政府应对突发事件采取的媒体政策及其启示[J].福州党校学报,2008(01):41-44.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陈力丹,吴璟薇.突发事件让媒体发言——从危机传播管理看突发事件应对法第57条的修改[J].新闻与传播评论,2007(Z1):104-109+210+219.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姜秀珍.中外媒体突发事件报道价值取向差异原因探析——由防“非典”新闻发布会上国外记者对疫情数字信息的关注谈起[J].国际新闻界,2003(05):14-18.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林龙.政府、公众、媒体关系与新时期政府危机管理——由非典型性肺炎事件引发的思考[J].政治学研究,2003(03):107-112.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陈寒溪.美国媒体如何“塑造”中国形象——以“中美撞机事件”为例[J].国际新闻界,2001(03):5-12.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郭雄腾,李伟权,黄扬,麦韵妍.融媒体时代下的政策议程设置:事件属性,领导高度重视还是公共舆论?[J/OL].情报杂志:1-7[2020-10-07].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邝艳华,叶林,张俊.政策议程与媒体议程关系研究——基于1982至2006年农业政策和媒体报道的实证分析[J].公共管理学报,2015,12(04):39-46+154-155.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李敏蓉.论媒体对政府政策行为的影响——以“闯黄灯”政策之变为例[J].北京社会科学,2013(03):94-98.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曾繁旭.传统媒体作为调停者:框架整合与政策回应[J].新闻与传播研究,2013,20(01):37-50+126-127.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张君昌.中国媒体报道突发事件政策法律法规之变迁[J].电视研究,2009(05):31-33.</w:t>
      </w:r>
    </w:p>
    <w:p>
      <w:pPr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讨论问题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重大社会</w:t>
      </w:r>
      <w:r>
        <w:rPr>
          <w:rFonts w:hint="eastAsia"/>
          <w:lang w:eastAsia="zh-CN"/>
        </w:rPr>
        <w:t>突发</w:t>
      </w:r>
      <w:r>
        <w:rPr>
          <w:rFonts w:hint="eastAsia"/>
        </w:rPr>
        <w:t>事件</w:t>
      </w:r>
      <w:r>
        <w:rPr>
          <w:rFonts w:hint="eastAsia"/>
          <w:lang w:eastAsia="zh-CN"/>
        </w:rPr>
        <w:t>的媒体责任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重大社会</w:t>
      </w:r>
      <w:r>
        <w:rPr>
          <w:rFonts w:hint="eastAsia"/>
          <w:lang w:eastAsia="zh-CN"/>
        </w:rPr>
        <w:t>突发</w:t>
      </w:r>
      <w:r>
        <w:rPr>
          <w:rFonts w:hint="eastAsia"/>
        </w:rPr>
        <w:t>事件</w:t>
      </w:r>
      <w:r>
        <w:rPr>
          <w:rFonts w:hint="default"/>
          <w:lang w:val="en-US" w:eastAsia="zh-CN"/>
        </w:rPr>
        <w:t>的媒介呈现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重大社会</w:t>
      </w:r>
      <w:r>
        <w:rPr>
          <w:rFonts w:hint="eastAsia"/>
          <w:lang w:eastAsia="zh-CN"/>
        </w:rPr>
        <w:t>突发</w:t>
      </w:r>
      <w:r>
        <w:rPr>
          <w:rFonts w:hint="eastAsia"/>
        </w:rPr>
        <w:t>事件传统媒体和新媒体的</w:t>
      </w:r>
      <w:r>
        <w:rPr>
          <w:rFonts w:hint="eastAsia"/>
          <w:lang w:eastAsia="zh-CN"/>
        </w:rPr>
        <w:t>互动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重大社会</w:t>
      </w:r>
      <w:r>
        <w:rPr>
          <w:rFonts w:hint="eastAsia"/>
          <w:lang w:eastAsia="zh-CN"/>
        </w:rPr>
        <w:t>突发</w:t>
      </w:r>
      <w:r>
        <w:rPr>
          <w:rFonts w:hint="eastAsia"/>
        </w:rPr>
        <w:t>事件</w:t>
      </w:r>
      <w:r>
        <w:rPr>
          <w:rFonts w:hint="eastAsia"/>
          <w:lang w:eastAsia="zh-CN"/>
        </w:rPr>
        <w:t>媒体、公众和政府的互动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中外媒体</w:t>
      </w:r>
      <w:r>
        <w:rPr>
          <w:rFonts w:hint="eastAsia"/>
          <w:lang w:eastAsia="zh-CN"/>
        </w:rPr>
        <w:t>重大</w:t>
      </w:r>
      <w:r>
        <w:rPr>
          <w:rFonts w:hint="eastAsia"/>
        </w:rPr>
        <w:t>事件报道</w:t>
      </w:r>
      <w:r>
        <w:rPr>
          <w:rFonts w:hint="eastAsia"/>
          <w:lang w:eastAsia="zh-CN"/>
        </w:rPr>
        <w:t>的比较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重大社会</w:t>
      </w:r>
      <w:r>
        <w:rPr>
          <w:rFonts w:hint="eastAsia"/>
          <w:lang w:eastAsia="zh-CN"/>
        </w:rPr>
        <w:t>突发</w:t>
      </w:r>
      <w:r>
        <w:rPr>
          <w:rFonts w:hint="eastAsia"/>
        </w:rPr>
        <w:t>事件</w:t>
      </w:r>
      <w:r>
        <w:rPr>
          <w:rFonts w:hint="eastAsia"/>
          <w:lang w:eastAsia="zh-CN"/>
        </w:rPr>
        <w:t>中媒体如何调适政府与公众的关系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b/>
          <w:bCs/>
          <w:highlight w:val="lightGray"/>
          <w:lang w:eastAsia="zh-CN"/>
        </w:rPr>
      </w:pPr>
      <w:r>
        <w:rPr>
          <w:rFonts w:hint="eastAsia"/>
          <w:b/>
          <w:bCs/>
          <w:highlight w:val="lightGray"/>
          <w:lang w:eastAsia="zh-CN"/>
        </w:rPr>
        <w:t>第四次课（</w:t>
      </w:r>
      <w:r>
        <w:rPr>
          <w:rFonts w:hint="eastAsia"/>
          <w:b/>
          <w:bCs/>
          <w:highlight w:val="lightGray"/>
          <w:lang w:val="en-US" w:eastAsia="zh-CN"/>
        </w:rPr>
        <w:t>11月4日</w:t>
      </w:r>
      <w:r>
        <w:rPr>
          <w:rFonts w:hint="eastAsia"/>
          <w:b/>
          <w:bCs/>
          <w:highlight w:val="lightGray"/>
          <w:lang w:eastAsia="zh-CN"/>
        </w:rPr>
        <w:t>）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媒体融合与新时代社会治理：（一）媒体融合；（二）媒体融合与基层社会治理；（三）媒体融合与网络社会治理</w:t>
      </w:r>
      <w:r>
        <w:rPr>
          <w:rFonts w:hint="eastAsia"/>
          <w:lang w:eastAsia="zh-CN"/>
        </w:rPr>
        <w:t>；（四）媒体融合与危机事件</w:t>
      </w:r>
    </w:p>
    <w:p>
      <w:pPr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阅读材料</w:t>
      </w:r>
    </w:p>
    <w:p>
      <w:pPr>
        <w:rPr>
          <w:rFonts w:hint="eastAsia"/>
        </w:rPr>
      </w:pPr>
      <w:r>
        <w:rPr>
          <w:rFonts w:hint="eastAsia"/>
        </w:rPr>
        <w:t>李沁,徐诚,赵凡瑜.技术、传播与社会：中国主流媒体融合发展路径——以长三角地区12家主流媒体为例[J].中国人民大学学报,2020,34(03):132-141.</w:t>
      </w:r>
    </w:p>
    <w:p>
      <w:pPr>
        <w:rPr>
          <w:rFonts w:hint="eastAsia"/>
        </w:rPr>
      </w:pPr>
      <w:r>
        <w:rPr>
          <w:rFonts w:hint="eastAsia"/>
        </w:rPr>
        <w:t>姬德强.媒体融合与国家治理体系的平台化转型[J].青年记者,2020(10):12-14.</w:t>
      </w:r>
    </w:p>
    <w:p>
      <w:pPr>
        <w:rPr>
          <w:rFonts w:hint="eastAsia"/>
        </w:rPr>
      </w:pPr>
      <w:r>
        <w:rPr>
          <w:rFonts w:hint="eastAsia"/>
        </w:rPr>
        <w:t>吴飞,韩瑞.媒体融合是一个重大的社会治理议题[J].新闻爱好者,2020(02):26-28.</w:t>
      </w:r>
    </w:p>
    <w:p>
      <w:pPr>
        <w:rPr>
          <w:rFonts w:hint="eastAsia"/>
        </w:rPr>
      </w:pPr>
      <w:r>
        <w:rPr>
          <w:rFonts w:hint="eastAsia"/>
        </w:rPr>
        <w:t>曾润喜,张军兴.媒体融合发展与我国社会治理的关系[J].青年记者,2020(01):59-60.</w:t>
      </w:r>
    </w:p>
    <w:p>
      <w:pPr>
        <w:rPr>
          <w:rFonts w:hint="eastAsia"/>
        </w:rPr>
      </w:pPr>
      <w:r>
        <w:rPr>
          <w:rFonts w:hint="eastAsia"/>
        </w:rPr>
        <w:t>王林生,高宏存.媒体融合视域下互联网文化产业的秩序失范与行业治理——以50个全国首案为分析对象[J].行政管理改革,2019(12):24-34.</w:t>
      </w:r>
    </w:p>
    <w:p>
      <w:pPr>
        <w:rPr>
          <w:rFonts w:hint="eastAsia"/>
        </w:rPr>
      </w:pPr>
      <w:r>
        <w:rPr>
          <w:rFonts w:hint="eastAsia"/>
        </w:rPr>
        <w:t>张辉刚,朱亚希.社会嵌入理论视角下媒体融合的行动框架构建[J].当代传播,2018(01):41-44.</w:t>
      </w:r>
    </w:p>
    <w:p>
      <w:pPr>
        <w:rPr>
          <w:rFonts w:hint="eastAsia"/>
        </w:rPr>
      </w:pPr>
      <w:r>
        <w:rPr>
          <w:rFonts w:hint="eastAsia"/>
        </w:rPr>
        <w:t>高钢.媒体融合:传播变革与社会进步的交叠演进[J].对外传播,2016(06):59-62+1.</w:t>
      </w:r>
    </w:p>
    <w:p>
      <w:pPr>
        <w:rPr>
          <w:rFonts w:hint="eastAsia"/>
        </w:rPr>
      </w:pPr>
      <w:r>
        <w:rPr>
          <w:rFonts w:hint="eastAsia"/>
        </w:rPr>
        <w:t>周逵,黄典林.从大喇叭、四级办台到县级融媒体中心——中国基层媒体制度建构的历史分析[J].新闻记者,2020(06):14-27.</w:t>
      </w:r>
    </w:p>
    <w:p>
      <w:pPr>
        <w:rPr>
          <w:rFonts w:hint="eastAsia"/>
        </w:rPr>
      </w:pPr>
      <w:r>
        <w:rPr>
          <w:rFonts w:hint="eastAsia"/>
        </w:rPr>
        <w:t>晏青,侯涵博.基层治理中融媒体中心的信任建构——基于广东省五个县级融媒体中心的调研[J].中国出版,2020(10):14-19.</w:t>
      </w:r>
    </w:p>
    <w:p>
      <w:pPr>
        <w:rPr>
          <w:rFonts w:hint="eastAsia"/>
        </w:rPr>
      </w:pPr>
      <w:r>
        <w:rPr>
          <w:rFonts w:hint="eastAsia"/>
        </w:rPr>
        <w:t>罗昕,蔡雨婷.县级融媒体创新基层社会治理的模式构建[J].新闻与写作,2020(03):48-55.</w:t>
      </w:r>
    </w:p>
    <w:p>
      <w:pPr>
        <w:rPr>
          <w:rFonts w:hint="eastAsia"/>
        </w:rPr>
      </w:pPr>
      <w:r>
        <w:rPr>
          <w:rFonts w:hint="eastAsia"/>
        </w:rPr>
        <w:t>沙垚.重建基层：县级融媒体中心实践的平台化和组织化[J].当代传播,2020(01):30-33.</w:t>
      </w:r>
    </w:p>
    <w:p>
      <w:pPr>
        <w:rPr>
          <w:rFonts w:hint="eastAsia"/>
        </w:rPr>
      </w:pPr>
      <w:r>
        <w:rPr>
          <w:rFonts w:hint="eastAsia"/>
        </w:rPr>
        <w:t>胡正荣.打造2.0版的县级融媒体中心[J].新闻界,2020(01):25-29.</w:t>
      </w:r>
    </w:p>
    <w:p>
      <w:pPr>
        <w:rPr>
          <w:rFonts w:hint="eastAsia"/>
        </w:rPr>
      </w:pPr>
      <w:r>
        <w:rPr>
          <w:rFonts w:hint="eastAsia"/>
        </w:rPr>
        <w:t>黄楚新,曹曦予.县级融媒体中心建设  助力基层治理水平提升[J].传媒,2019(23):9-11.</w:t>
      </w:r>
    </w:p>
    <w:p>
      <w:pPr>
        <w:rPr>
          <w:rFonts w:hint="eastAsia"/>
        </w:rPr>
      </w:pPr>
      <w:r>
        <w:rPr>
          <w:rFonts w:hint="eastAsia"/>
        </w:rPr>
        <w:t>董毅敏,刘建华,卢剑锋.全国县级融媒体中心基层舆论引导能力建设典型案例研究[J].传媒,2019(23):12-16+18.</w:t>
      </w:r>
    </w:p>
    <w:p>
      <w:pPr>
        <w:rPr>
          <w:rFonts w:hint="eastAsia"/>
        </w:rPr>
      </w:pPr>
      <w:r>
        <w:rPr>
          <w:rFonts w:hint="eastAsia"/>
        </w:rPr>
        <w:t>陈国权.扎实建设县级融媒体中心  构建基层宣传工作新格局[J].中国记者,2019(09):12-15.</w:t>
      </w:r>
    </w:p>
    <w:p>
      <w:pPr>
        <w:rPr>
          <w:rFonts w:hint="eastAsia"/>
        </w:rPr>
      </w:pPr>
      <w:r>
        <w:rPr>
          <w:rFonts w:hint="eastAsia"/>
        </w:rPr>
        <w:t>赵乐韵.推进县级融媒体中心建设  更好服务基层社会治理[J].国家治理,2019(22):25-27.</w:t>
      </w:r>
    </w:p>
    <w:p>
      <w:pPr>
        <w:rPr>
          <w:rFonts w:hint="eastAsia"/>
        </w:rPr>
      </w:pPr>
      <w:r>
        <w:rPr>
          <w:rFonts w:hint="eastAsia"/>
        </w:rPr>
        <w:t>陈国权.中国县级融媒体中心改革发展报告[J].现代传播(中国传媒大学学报),2019,41(04):15-23.</w:t>
      </w:r>
    </w:p>
    <w:p>
      <w:pPr>
        <w:rPr>
          <w:rFonts w:hint="eastAsia"/>
        </w:rPr>
      </w:pPr>
      <w:r>
        <w:rPr>
          <w:rFonts w:hint="eastAsia"/>
        </w:rPr>
        <w:t>方提,尹韵公.论县级融媒体中心建设的重大意义与实现路径[J].现代传播(中国传媒大学学报),2019,41(04):11-14.</w:t>
      </w:r>
    </w:p>
    <w:p>
      <w:pPr>
        <w:rPr>
          <w:rFonts w:hint="eastAsia"/>
        </w:rPr>
      </w:pPr>
      <w:r>
        <w:rPr>
          <w:rFonts w:hint="eastAsia"/>
        </w:rPr>
        <w:t>李彪.县级融媒体中心建设:发展模式、关键环节与路径选择[J].编辑之友,2019(03):44-49.</w:t>
      </w:r>
    </w:p>
    <w:p>
      <w:pPr>
        <w:rPr>
          <w:rFonts w:hint="eastAsia"/>
        </w:rPr>
      </w:pPr>
      <w:r>
        <w:rPr>
          <w:rFonts w:hint="eastAsia"/>
        </w:rPr>
        <w:t>谢新洲,朱垚颖,宋琢谢.县级媒体融合的现状、路径与问题研究——基于全国问卷调查和四县融媒体中心实地调研[J].新闻记者,2019(03):56-71.</w:t>
      </w:r>
    </w:p>
    <w:p>
      <w:pPr>
        <w:rPr>
          <w:rFonts w:hint="eastAsia"/>
        </w:rPr>
      </w:pPr>
      <w:r>
        <w:rPr>
          <w:rFonts w:hint="eastAsia"/>
        </w:rPr>
        <w:t>董喜延.积极推进融媒体中心建设  扎实服务基层群众生活——延庆区融媒体中心建设的几点体会[J].传媒,2019(02):24-26.</w:t>
      </w:r>
    </w:p>
    <w:p>
      <w:pPr>
        <w:rPr>
          <w:rFonts w:hint="eastAsia"/>
        </w:rPr>
      </w:pPr>
      <w:r>
        <w:rPr>
          <w:rFonts w:hint="eastAsia"/>
        </w:rPr>
        <w:t>宋建武,乔羽.建设县级融媒体中心  打造治国理政新平台[J].新闻战线,2018(23):67-70.</w:t>
      </w:r>
    </w:p>
    <w:p>
      <w:pPr>
        <w:rPr>
          <w:rFonts w:hint="eastAsia"/>
        </w:rPr>
      </w:pPr>
      <w:r>
        <w:rPr>
          <w:rFonts w:hint="eastAsia"/>
        </w:rPr>
        <w:t>陈国权,付莎莎.传播力建设的最后一公里——县级融媒体中心建设路径[J].新闻与写作,2018(11):24-27.</w:t>
      </w:r>
    </w:p>
    <w:p>
      <w:pPr>
        <w:rPr>
          <w:rFonts w:hint="eastAsia"/>
        </w:rPr>
      </w:pPr>
      <w:r>
        <w:rPr>
          <w:rFonts w:hint="eastAsia"/>
        </w:rPr>
        <w:t>桑爱梅.基层融媒在突发灾难面前的探索和担当——寿光日报融媒体报道“寿光水灾”纪实[J].中国记者,2018(11):76-78.</w:t>
      </w:r>
    </w:p>
    <w:p>
      <w:pPr>
        <w:rPr>
          <w:rFonts w:hint="eastAsia"/>
        </w:rPr>
      </w:pPr>
      <w:r>
        <w:rPr>
          <w:rFonts w:hint="eastAsia"/>
        </w:rPr>
        <w:t>谢新洲,黄杨.我国县级融媒体建设的现状与问题[J].中国记者,2018(10):53-56.</w:t>
      </w:r>
    </w:p>
    <w:p>
      <w:pPr>
        <w:rPr>
          <w:rFonts w:hint="eastAsia"/>
        </w:rPr>
      </w:pPr>
      <w:r>
        <w:rPr>
          <w:rFonts w:hint="eastAsia"/>
        </w:rPr>
        <w:t>朱春阳.县级融媒体中心建设:经验坐标、发展机遇与路径创新[J].新闻界,2018(09):21-27.</w:t>
      </w:r>
    </w:p>
    <w:p>
      <w:pPr>
        <w:rPr>
          <w:rFonts w:hint="eastAsia"/>
        </w:rPr>
      </w:pPr>
      <w:r>
        <w:rPr>
          <w:rFonts w:hint="eastAsia"/>
        </w:rPr>
        <w:t>严三九.中国传统媒体与新兴媒体融合发展的现状、问题与创新路径[J].华东师范大学学报(哲学社会科学版),2018,50(01):89-101+179.</w:t>
      </w:r>
    </w:p>
    <w:p>
      <w:pPr>
        <w:rPr>
          <w:rFonts w:hint="eastAsia"/>
        </w:rPr>
      </w:pPr>
      <w:r>
        <w:rPr>
          <w:rFonts w:hint="eastAsia"/>
        </w:rPr>
        <w:t>林如鹏,汤景泰.政治逻辑、技术逻辑与市场逻辑:论习近平的媒体融合发展思想[J].新闻与传播研究,2016,23(11):5-15+126.</w:t>
      </w:r>
    </w:p>
    <w:p>
      <w:pPr>
        <w:rPr>
          <w:rFonts w:hint="eastAsia"/>
        </w:rPr>
      </w:pPr>
      <w:r>
        <w:rPr>
          <w:rFonts w:hint="eastAsia"/>
        </w:rPr>
        <w:t>黄旦,李暄.从业态转向社会形态:媒介融合再理解[J].现代传播(中国传媒大学学报),2016,38(01):13-20.</w:t>
      </w:r>
    </w:p>
    <w:p>
      <w:pPr>
        <w:rPr>
          <w:rFonts w:hint="eastAsia"/>
        </w:rPr>
      </w:pPr>
      <w:r>
        <w:rPr>
          <w:rFonts w:hint="eastAsia"/>
        </w:rPr>
        <w:t>彭兰.文化隔阂:新老媒体融合中的关键障碍[J].国际新闻界,2015,37(12):125-139.</w:t>
      </w:r>
    </w:p>
    <w:p>
      <w:pPr>
        <w:rPr>
          <w:rFonts w:hint="eastAsia"/>
        </w:rPr>
      </w:pPr>
      <w:r>
        <w:rPr>
          <w:rFonts w:hint="eastAsia"/>
        </w:rPr>
        <w:t>黄楚新.“互联网+媒体”——融合时代的传媒发展路径[J].新闻与传播研究,2015,22(09):107-116+128.</w:t>
      </w:r>
    </w:p>
    <w:p>
      <w:pPr>
        <w:rPr>
          <w:rFonts w:hint="eastAsia"/>
        </w:rPr>
      </w:pPr>
      <w:r>
        <w:rPr>
          <w:rFonts w:hint="eastAsia"/>
        </w:rPr>
        <w:t>朱鸿军,农涛.媒体融合的关键:传媒制度的现代化[J].现代传播(中国传媒大学学报),2015,37(07):6-11.</w:t>
      </w:r>
    </w:p>
    <w:p>
      <w:pPr>
        <w:rPr>
          <w:rFonts w:hint="eastAsia"/>
        </w:rPr>
      </w:pPr>
      <w:r>
        <w:rPr>
          <w:rFonts w:hint="eastAsia"/>
        </w:rPr>
        <w:t>喻国明,刘旸.“互联网+”模式下媒介的融合迭代与效能转换[J].新闻大学,2015(04):1-6.</w:t>
      </w:r>
    </w:p>
    <w:p>
      <w:pPr>
        <w:rPr>
          <w:rFonts w:hint="eastAsia"/>
        </w:rPr>
      </w:pPr>
      <w:r>
        <w:rPr>
          <w:rFonts w:hint="eastAsia"/>
        </w:rPr>
        <w:t>胡正荣.传统媒体与新兴媒体融合的关键与路径[J].新闻与写作,2015(05):22-26.</w:t>
      </w:r>
    </w:p>
    <w:p>
      <w:pPr>
        <w:rPr>
          <w:rFonts w:hint="eastAsia"/>
        </w:rPr>
      </w:pPr>
      <w:r>
        <w:rPr>
          <w:rFonts w:hint="eastAsia"/>
        </w:rPr>
        <w:t>郭全中.媒体融合:现状、问题及策略[J].新闻记者,2015(03):28-35.</w:t>
      </w:r>
    </w:p>
    <w:p>
      <w:pPr>
        <w:rPr>
          <w:rFonts w:hint="eastAsia"/>
        </w:rPr>
      </w:pPr>
      <w:r>
        <w:rPr>
          <w:rFonts w:hint="eastAsia"/>
        </w:rPr>
        <w:t>陈力丹.用互联网思维推进媒介融合[J].当代传播,2014(06):1.</w:t>
      </w:r>
    </w:p>
    <w:p>
      <w:pPr>
        <w:rPr>
          <w:rFonts w:hint="eastAsia"/>
        </w:rPr>
      </w:pPr>
      <w:r>
        <w:rPr>
          <w:rFonts w:hint="eastAsia"/>
        </w:rPr>
        <w:t>朱春阳,刘心怡,杨海.如何塑造媒体融合时代的新型主流媒体与现代传播体系?[J].新闻大学,2014(06):9-15.</w:t>
      </w:r>
    </w:p>
    <w:p>
      <w:pPr>
        <w:rPr>
          <w:rFonts w:hint="eastAsia"/>
        </w:rPr>
      </w:pPr>
      <w:r>
        <w:rPr>
          <w:rFonts w:hint="eastAsia"/>
        </w:rPr>
        <w:t>慎海雄.遵循新闻传播规律  抢占媒体融合制高点——新华社媒体融合发展的实践与思考[J].新闻与写作,2014(11):50-53.</w:t>
      </w:r>
    </w:p>
    <w:p>
      <w:pPr>
        <w:rPr>
          <w:rFonts w:hint="eastAsia"/>
        </w:rPr>
      </w:pPr>
      <w:r>
        <w:rPr>
          <w:rFonts w:hint="eastAsia"/>
        </w:rPr>
        <w:t>陈映.媒介融合概念的解析与层次[J].北京邮电大学学报(社会科学版),2014,16(01):1-7.</w:t>
      </w:r>
    </w:p>
    <w:p>
      <w:pPr>
        <w:rPr>
          <w:rFonts w:hint="eastAsia"/>
        </w:rPr>
      </w:pPr>
      <w:r>
        <w:rPr>
          <w:rFonts w:hint="eastAsia"/>
        </w:rPr>
        <w:t>郭毅,于翠玲.国外“媒介融合”概念及相关问题综述[J].现代出版,2013(01):16-21.</w:t>
      </w:r>
    </w:p>
    <w:p>
      <w:pPr>
        <w:rPr>
          <w:rFonts w:hint="eastAsia"/>
        </w:rPr>
      </w:pPr>
      <w:r>
        <w:rPr>
          <w:rFonts w:hint="eastAsia"/>
        </w:rPr>
        <w:t>丁柏铨.媒介融合:概念、动因及利弊[J].南京社会科学,2011(11):92-99.</w:t>
      </w:r>
    </w:p>
    <w:p>
      <w:pPr>
        <w:rPr>
          <w:rFonts w:hint="eastAsia"/>
        </w:rPr>
      </w:pPr>
      <w:r>
        <w:rPr>
          <w:rFonts w:hint="eastAsia"/>
        </w:rPr>
        <w:t>彭祝斌,梁媛.媒介融合时代新闻生产经营管理的创新[J].现代传播(中国传媒大学学报),2010(01):110-114.</w:t>
      </w:r>
    </w:p>
    <w:p>
      <w:pPr>
        <w:rPr>
          <w:rFonts w:hint="eastAsia"/>
        </w:rPr>
      </w:pPr>
      <w:r>
        <w:rPr>
          <w:rFonts w:hint="eastAsia"/>
        </w:rPr>
        <w:t>蔡雯,王学文.角度·视野·轨迹——试析有关“媒介融合”的研究[J].国际新闻界,2009(11):87-91.</w:t>
      </w:r>
    </w:p>
    <w:p>
      <w:pPr>
        <w:rPr>
          <w:rFonts w:hint="eastAsia"/>
        </w:rPr>
      </w:pPr>
      <w:r>
        <w:rPr>
          <w:rFonts w:hint="eastAsia"/>
        </w:rPr>
        <w:t>郑保卫,樊亚平,彭艳萍.我国媒介融合研究的回顾与前瞻[J].新闻传播,2008(02):8-11.</w:t>
      </w:r>
    </w:p>
    <w:p>
      <w:pPr>
        <w:rPr>
          <w:rFonts w:hint="eastAsia"/>
        </w:rPr>
      </w:pPr>
      <w:r>
        <w:rPr>
          <w:rFonts w:hint="eastAsia"/>
        </w:rPr>
        <w:t>陈绚.论媒体融合的功能[J].国际新闻界,2006(12):72-76.</w:t>
      </w:r>
    </w:p>
    <w:p>
      <w:pPr>
        <w:rPr>
          <w:rFonts w:hint="eastAsia"/>
        </w:rPr>
      </w:pPr>
      <w:r>
        <w:rPr>
          <w:rFonts w:hint="eastAsia"/>
        </w:rPr>
        <w:t>高钢,陈绚.关于媒体融合的几点思索[J].国际新闻界,2006(09):51-56.</w:t>
      </w:r>
    </w:p>
    <w:p>
      <w:pPr>
        <w:rPr>
          <w:rFonts w:hint="eastAsia"/>
        </w:rPr>
      </w:pPr>
      <w:r>
        <w:rPr>
          <w:rFonts w:hint="eastAsia"/>
        </w:rPr>
        <w:t>孟建,赵元珂.媒介融合:粘聚并造就新型的媒介化社会[J].国际新闻界,2006(07):24-27+54.</w:t>
      </w:r>
    </w:p>
    <w:p>
      <w:pPr>
        <w:rPr>
          <w:rFonts w:hint="eastAsia"/>
        </w:rPr>
      </w:pPr>
      <w:r>
        <w:rPr>
          <w:rFonts w:hint="eastAsia"/>
        </w:rPr>
        <w:t>许颖.互动·整合·大融合——媒体融合的三个层次[J].国际新闻界,2006(07):32-36.</w:t>
      </w:r>
    </w:p>
    <w:p>
      <w:pPr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讨论问题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媒体融合的理论逻辑与实践发展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媒体融合的问题与策略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县级媒体融合的问题与出路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媒体融合与社会治理的关系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媒体融合与基层社会治理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媒体融合与网络社会治理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b/>
          <w:bCs/>
          <w:highlight w:val="lightGray"/>
          <w:lang w:eastAsia="zh-CN"/>
        </w:rPr>
      </w:pPr>
      <w:r>
        <w:rPr>
          <w:rFonts w:hint="eastAsia"/>
          <w:b/>
          <w:bCs/>
          <w:highlight w:val="lightGray"/>
          <w:lang w:eastAsia="zh-CN"/>
        </w:rPr>
        <w:t>第五次课（</w:t>
      </w:r>
      <w:r>
        <w:rPr>
          <w:rFonts w:hint="eastAsia"/>
          <w:b/>
          <w:bCs/>
          <w:highlight w:val="lightGray"/>
          <w:lang w:val="en-US" w:eastAsia="zh-CN"/>
        </w:rPr>
        <w:t>11月11日</w:t>
      </w:r>
      <w:r>
        <w:rPr>
          <w:rFonts w:hint="eastAsia"/>
          <w:b/>
          <w:bCs/>
          <w:highlight w:val="lightGray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媒介与社会发展与治理：（一）如何改善数字鸿沟；（二）媒体助力脱贫攻坚；（三）媒体对弱势群体的意义</w:t>
      </w:r>
    </w:p>
    <w:p>
      <w:pPr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阅读材料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邱泽奇,张樹沁,刘世定,许英康.从数字鸿沟到红利差异——互联网资本的视角[J].中国社会科学,2016(10):93-115+203-204.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胡鞍钢,王蔚,周绍杰,鲁钰锋.中国开创“新经济”——从缩小“数字鸿沟”到收获“数字红利”[J].国家行政学院学报,2016(03):4-13+2.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韦路,谢点.全球数字鸿沟变迁及其影响因素研究——基于1990-2010世界宏观数据的实证分析[J].新闻与传播研究,2015,22(09):36-54+126-127.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许竹青,郑风田,陈洁.“数字鸿沟”还是“信息红利”?信息的有效供给与农民的销售价格——一个微观角度的实证研究[J].经济学(季刊),2013,12(04):1513-1536.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闫慧,孙立立.1989年以来国内外数字鸿沟研究回顾:内涵、表现维度及影响因素综述[J].中国图书馆学报,2012,38(05):82-94.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闫慧.数字鸿沟研究的未来:境外数字不平等研究进展[J].中国图书馆学报,2011,37(04):87-93.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李升.“数字鸿沟”:当代社会阶层分析的新视角[J].社会,2006(06):81-94+210.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韦路,张明新.第三道数字鸿沟:互联网上的知识沟[J].新闻与传播研究,2006(04):43-53+95.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于良芝.理解信息资源的贫富分化:国外“信息分化”与“数字鸿沟”研究综述[J].图书馆杂志,2005(12):6-18+37.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汪明峰.互联网使用与中国城市化——“数字鸿沟”的空间层面[J].社会学研究,2005(06):112-135+244.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金兼斌.数字鸿沟的概念辨析[J].新闻与传播研究,2003(01):75-79+95.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邵培仁,张健康.关于跨越中国数字鸿沟的思考与对策[J].浙江大学学报(人文社会科学版),2003(01):126-134.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孙敬水.数字鸿沟:21世纪世界各国面临的共同问题[J].国际问题研究,2002(06):54-58+33.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杨琳,李明志.中国地区间数字鸿沟的现状与对策[J].软科学,2002(04):22-26.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胡鞍钢,周绍杰.新的全球贫富差距:日益扩大的“数字鸿沟”[J].中国社会科学,2002(03):34-48+205.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胡鞍钢,周绍杰.中国如何应对日益扩大的“数字鸿沟”[J].中国工业经济,2002(03):5-12.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曹荣湘.数字鸿沟引论:信息不平等与数字机遇[J].马克思主义与现实,2001(06):20-25.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谢阳群,汪传雷.数字鸿沟与信息扶贫[J].情报理论与实践,2001(06):426-430.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金陈飞,赵帅.新媒体背景下众筹扶贫运作逻辑、困境与对策[J].中国出版,2020(18):30-32.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李静.VR技术在“脱贫攻坚”主题报道中的实践创新——以央视网“脱贫攻坚智惠媒体平台”VR报道为例[J].中国记者,2020(08):63-67.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刘韶华,况明亮,魏玉清.主流媒体精准扶贫报道探析——以河南卫视《脱贫大决战》为例[J].传媒,2020(09):41-43.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黄敏.议题关联与关系建构——《纽约时报》有关中国扶贫报道的媒体网络议程分析[J].新闻与传播研究,2020,27(03):21-36+126.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刘兢,陈婧,梁贤安,吴兰儿.新闻扶贫：发挥媒体优势  助力脱贫攻坚[J].传媒,2020(02):63-66.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于卫亚,焦旭锋.如何利用新媒体平台做好扶贫报道——以新华社互动H5《致奋斗在脱贫战场上的你》为例[J].传媒,2019(21):59-60.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陶韬.组织新媒体到扶贫一线践初心强四力——中国记协扶贫点系列直播覆盖人群超3亿人次[J].传媒,2019(15):23-27.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刘禹辰,尹响.“融媒体+电商”在少数民族地区精准扶贫中的新作用——基于四川的案例分析[J].西南民族大学学报(人文社科版),2019,40(05):147-151.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陶涛,乔立远.新媒体“强四力  助攻坚”陇南扶贫报道纪实[J].传媒,2018(23):26-30.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王志贤,薛正荣.地方主流媒体如何聚力助力脱贫攻坚——《固原日报》精准扶贫、脱贫主题报道的实践体会[J].中国记者,2017(06):108-111.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高永亮.发挥行业组织引领作用  推动媒体助力脱贫攻坚——“畅行中国·走进大别山”大型采访活动综述[J].中国广播电视学刊,2017(05):128-130.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左力.广电媒体在脱贫攻坚报道中的实践探索[J].中国广播电视学刊,2017(03):93-95.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范英,梁现瑞,李淼.脱贫攻坚中的媒体担当——《四川日报》在脱贫报道中做好四种角色的探索与实践[J].中国记者,2016(04):72-74.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易红发.媒介使用对老年人死亡风险的作用机制研究[J].上海大学学报(社会科学版),2020,37(05):112-129.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武晓立.老年人社交媒体使用动机、存在的问题及对策[J].青年记者,2020(11):10-11.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刘鸣筝,董岳.老年人的媒介使用与主观幸福感间的关系研究——基于CGSS2015的实证分析[J].东岳论丛,2019,40(07):40-47.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陈晓菲,杨伟国,王江哲.电视媒体对老年人认知水平与非认知水平的影响——基于新人力资本理论的视角[J].人口与发展,2018,24(06):29-38.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廖志坤,乔玉为.网游青少年媒介形象的形成及偏差分析[J].湖南师范大学社会科学学报,2018,47(02):135-141.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王伟,王兴超,雷雳,付晓洁.移动社交媒介使用行为对青少年友谊质量的影响:网络自我表露和网络社会支持的中介作用[J].心理科学,2017,40(04):870-877.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郑素侠.城乡青少年媒介使用的家庭环境差异及其影响因素——基于2013年度中国教育追踪调查(CEPS)数据的分析[J].现代传播(中国传媒大学学报),2015,37(09):144-149.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刘荃.城市青少年接触媒介行为与家庭环境的相关性研究——以江苏省为例[J].现代传播(中国传媒大学学报),2015,37(06):135-140.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漆亚林,高敏.问题与策展:微媒体时代的青少年媒介素养建构[J].中国青年社会科学,2015,34(01):81-86.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何平华,邓香莲,王晓娴.全媒体语境下台湾地区老年人阅读现状实证研究——以台北市为例[J].中国出版,2014(05):53-56.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曾昕.媒介素养范式与青少年政治社会化[J].现代传播(中国传媒大学学报),2013,35(10):56-58+62.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张硕,陈功.中国城市老年人新媒体使用影响因素研究——基于北京市朝阳区的调查[J].南方人口,2013,28(04):64-72.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陈月华,陈荟竹.关于我国老年人媒介素养的若干思考——基于哈尔滨和上海两地的实证调查[J].中国广播电视学刊,2011(08):60-61.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肖春斌,李升科.电视媒介对青少年成长“图像建构”的意义分析[J].现代传播(中国传媒大学学报),2011(02):144-145.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王勇.媒介新技术、新媒介环境与青少年社会化[J].湘潭大学学报(哲学社会科学版),2010,34(01):91-94+98.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方建移,葛进平.老年人的媒介接触与准社会交往研究[J].浙江传媒学院学报,2009,16(03):91-93.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陈苗苗.青少年新媒介“使用-满足”动机与新媒介素养观[J].国际新闻界,2009(06):73-77+95.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路鹏程,骆杲,王敏晨,付三军.我国中部城乡青少年媒介素养比较研究——以湖北省武汉市、红安县两地为例[J].新闻与传播研究,2007(03):80-88.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潘辽粤.青少年形象的媒介呈现[J].青年研究,2006(07):36-43.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陆晔,黄东亮,周葆华.媒介使用与青少年闲暇生活——“离网离视”活动个案分析[J].新闻记者,2006(04):3-7.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王玲宁,张国良.媒介暴力对青少年的影响[J].青年研究,2005(03):32-40.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于鹏.电视传媒:身担重任需自知——媒介的社会责任与青少年价值观的构筑[J].社会,2002(07):6-8.</w:t>
      </w:r>
    </w:p>
    <w:p>
      <w:pPr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讨论问题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数字鸿沟是什么，如何形成的，有何负面效应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数字鸿沟与媒体发展的责任</w:t>
      </w:r>
    </w:p>
    <w:p>
      <w:pPr>
        <w:rPr>
          <w:rFonts w:hint="eastAsia"/>
        </w:rPr>
      </w:pPr>
      <w:r>
        <w:rPr>
          <w:rFonts w:hint="eastAsia"/>
        </w:rPr>
        <w:t>媒体</w:t>
      </w:r>
      <w:r>
        <w:rPr>
          <w:rFonts w:hint="eastAsia"/>
          <w:lang w:eastAsia="zh-CN"/>
        </w:rPr>
        <w:t>如何</w:t>
      </w:r>
      <w:r>
        <w:rPr>
          <w:rFonts w:hint="eastAsia"/>
        </w:rPr>
        <w:t>助力脱贫攻坚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残障人士的媒体报道和媒介使用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老年人的媒体报道和媒介使用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青少年的媒体报道和媒介使用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679E1"/>
    <w:rsid w:val="000801BF"/>
    <w:rsid w:val="001132D7"/>
    <w:rsid w:val="001624BE"/>
    <w:rsid w:val="0060283D"/>
    <w:rsid w:val="00756FDB"/>
    <w:rsid w:val="00B126F9"/>
    <w:rsid w:val="00B64B5A"/>
    <w:rsid w:val="00BB6598"/>
    <w:rsid w:val="011910E6"/>
    <w:rsid w:val="024A2913"/>
    <w:rsid w:val="02D5503A"/>
    <w:rsid w:val="030807E2"/>
    <w:rsid w:val="030A44E9"/>
    <w:rsid w:val="031B23E9"/>
    <w:rsid w:val="037C69B7"/>
    <w:rsid w:val="03966D92"/>
    <w:rsid w:val="03D84AD9"/>
    <w:rsid w:val="04256155"/>
    <w:rsid w:val="04990707"/>
    <w:rsid w:val="05794510"/>
    <w:rsid w:val="05CA661B"/>
    <w:rsid w:val="06B031DA"/>
    <w:rsid w:val="070571F0"/>
    <w:rsid w:val="0741471C"/>
    <w:rsid w:val="09C871F9"/>
    <w:rsid w:val="09CE43A5"/>
    <w:rsid w:val="0A9F037A"/>
    <w:rsid w:val="0ABD4DFD"/>
    <w:rsid w:val="0B04220D"/>
    <w:rsid w:val="0B367790"/>
    <w:rsid w:val="0BA40B0B"/>
    <w:rsid w:val="0BB11961"/>
    <w:rsid w:val="0C371896"/>
    <w:rsid w:val="0C437378"/>
    <w:rsid w:val="0C7A6209"/>
    <w:rsid w:val="0CA460C2"/>
    <w:rsid w:val="0CB75949"/>
    <w:rsid w:val="0D0C56A9"/>
    <w:rsid w:val="0E5707BA"/>
    <w:rsid w:val="106926FC"/>
    <w:rsid w:val="10802088"/>
    <w:rsid w:val="10977C58"/>
    <w:rsid w:val="110D34BD"/>
    <w:rsid w:val="118D4562"/>
    <w:rsid w:val="11F24B57"/>
    <w:rsid w:val="121B6DEC"/>
    <w:rsid w:val="12953B75"/>
    <w:rsid w:val="132238F9"/>
    <w:rsid w:val="148A42A7"/>
    <w:rsid w:val="15010CDE"/>
    <w:rsid w:val="16F36FFC"/>
    <w:rsid w:val="17280F0E"/>
    <w:rsid w:val="175C3E70"/>
    <w:rsid w:val="184854C9"/>
    <w:rsid w:val="18F10442"/>
    <w:rsid w:val="192573A5"/>
    <w:rsid w:val="1A184A63"/>
    <w:rsid w:val="1A516ECC"/>
    <w:rsid w:val="1AC35D19"/>
    <w:rsid w:val="1AD75011"/>
    <w:rsid w:val="1BA920DB"/>
    <w:rsid w:val="1C8B3715"/>
    <w:rsid w:val="1CAD7091"/>
    <w:rsid w:val="1DBC198C"/>
    <w:rsid w:val="1DE26696"/>
    <w:rsid w:val="1E2A2D6E"/>
    <w:rsid w:val="1E4F5476"/>
    <w:rsid w:val="1E88357A"/>
    <w:rsid w:val="1F6B67AC"/>
    <w:rsid w:val="1F9D78BC"/>
    <w:rsid w:val="1FF34992"/>
    <w:rsid w:val="209F7619"/>
    <w:rsid w:val="211F523B"/>
    <w:rsid w:val="212406E8"/>
    <w:rsid w:val="219C236A"/>
    <w:rsid w:val="21BA3E06"/>
    <w:rsid w:val="21D90CD0"/>
    <w:rsid w:val="222A26FC"/>
    <w:rsid w:val="23730649"/>
    <w:rsid w:val="23B124D1"/>
    <w:rsid w:val="23C1127A"/>
    <w:rsid w:val="247E54E9"/>
    <w:rsid w:val="24F33D63"/>
    <w:rsid w:val="25425D56"/>
    <w:rsid w:val="254A7E3E"/>
    <w:rsid w:val="25A620DA"/>
    <w:rsid w:val="26C12632"/>
    <w:rsid w:val="27643C7C"/>
    <w:rsid w:val="27C41902"/>
    <w:rsid w:val="27F10D7C"/>
    <w:rsid w:val="28057F61"/>
    <w:rsid w:val="28433D6A"/>
    <w:rsid w:val="285D6952"/>
    <w:rsid w:val="29665C2C"/>
    <w:rsid w:val="29E20E25"/>
    <w:rsid w:val="29E27EE1"/>
    <w:rsid w:val="2A354E0B"/>
    <w:rsid w:val="2A6728AA"/>
    <w:rsid w:val="2A947947"/>
    <w:rsid w:val="2B0367D2"/>
    <w:rsid w:val="2BC44AB5"/>
    <w:rsid w:val="2C84792F"/>
    <w:rsid w:val="2DBC546B"/>
    <w:rsid w:val="2DE679BE"/>
    <w:rsid w:val="2E0816AF"/>
    <w:rsid w:val="2EB2799A"/>
    <w:rsid w:val="2EDF2164"/>
    <w:rsid w:val="2F394C0C"/>
    <w:rsid w:val="2FC0227A"/>
    <w:rsid w:val="2FC335C1"/>
    <w:rsid w:val="31974079"/>
    <w:rsid w:val="338524E1"/>
    <w:rsid w:val="338D3702"/>
    <w:rsid w:val="33F8302D"/>
    <w:rsid w:val="34025F02"/>
    <w:rsid w:val="343556BF"/>
    <w:rsid w:val="34CB0B7C"/>
    <w:rsid w:val="34FF5BA0"/>
    <w:rsid w:val="35771C0B"/>
    <w:rsid w:val="35C64D43"/>
    <w:rsid w:val="35C94489"/>
    <w:rsid w:val="371024A4"/>
    <w:rsid w:val="38250720"/>
    <w:rsid w:val="38605AFC"/>
    <w:rsid w:val="389F47A3"/>
    <w:rsid w:val="38CD377D"/>
    <w:rsid w:val="392D2727"/>
    <w:rsid w:val="39540404"/>
    <w:rsid w:val="39644192"/>
    <w:rsid w:val="3A0F65E3"/>
    <w:rsid w:val="3A372597"/>
    <w:rsid w:val="3B536483"/>
    <w:rsid w:val="3BA42562"/>
    <w:rsid w:val="3BE40C79"/>
    <w:rsid w:val="3C9C75A3"/>
    <w:rsid w:val="3CEE0B67"/>
    <w:rsid w:val="3D024DDA"/>
    <w:rsid w:val="3E761241"/>
    <w:rsid w:val="3F593C72"/>
    <w:rsid w:val="3FE06D4E"/>
    <w:rsid w:val="404D346F"/>
    <w:rsid w:val="40BB6492"/>
    <w:rsid w:val="41012A04"/>
    <w:rsid w:val="42047093"/>
    <w:rsid w:val="421517F2"/>
    <w:rsid w:val="43FD0DC0"/>
    <w:rsid w:val="468C5532"/>
    <w:rsid w:val="47F20191"/>
    <w:rsid w:val="48291A7C"/>
    <w:rsid w:val="4855448A"/>
    <w:rsid w:val="48896B23"/>
    <w:rsid w:val="48C805D1"/>
    <w:rsid w:val="4A4B0FB6"/>
    <w:rsid w:val="4A9869C3"/>
    <w:rsid w:val="4B06759C"/>
    <w:rsid w:val="4B366817"/>
    <w:rsid w:val="4BAA321A"/>
    <w:rsid w:val="4CB11036"/>
    <w:rsid w:val="4CC97681"/>
    <w:rsid w:val="4CD95B3B"/>
    <w:rsid w:val="4CE35346"/>
    <w:rsid w:val="4CFB573F"/>
    <w:rsid w:val="4E456D25"/>
    <w:rsid w:val="4E5D733F"/>
    <w:rsid w:val="4F3429C4"/>
    <w:rsid w:val="50BE3F27"/>
    <w:rsid w:val="52164047"/>
    <w:rsid w:val="529A65A9"/>
    <w:rsid w:val="53470B6C"/>
    <w:rsid w:val="537679E1"/>
    <w:rsid w:val="538B40E4"/>
    <w:rsid w:val="53FD54DA"/>
    <w:rsid w:val="544F7B61"/>
    <w:rsid w:val="549D0A6D"/>
    <w:rsid w:val="54B711E5"/>
    <w:rsid w:val="551B3FEC"/>
    <w:rsid w:val="55651C3A"/>
    <w:rsid w:val="55A5135B"/>
    <w:rsid w:val="55EF541E"/>
    <w:rsid w:val="56156FD1"/>
    <w:rsid w:val="56444F29"/>
    <w:rsid w:val="579B1AFE"/>
    <w:rsid w:val="57C83718"/>
    <w:rsid w:val="58CC67B8"/>
    <w:rsid w:val="58E87FF1"/>
    <w:rsid w:val="59AA411D"/>
    <w:rsid w:val="59F03157"/>
    <w:rsid w:val="5A435C95"/>
    <w:rsid w:val="5A4839DD"/>
    <w:rsid w:val="5A63645E"/>
    <w:rsid w:val="5AB92424"/>
    <w:rsid w:val="5B327034"/>
    <w:rsid w:val="5B815136"/>
    <w:rsid w:val="5B910AFE"/>
    <w:rsid w:val="5BAB18C2"/>
    <w:rsid w:val="5BF562C0"/>
    <w:rsid w:val="5CFC08D4"/>
    <w:rsid w:val="5DF81DE6"/>
    <w:rsid w:val="5E90240D"/>
    <w:rsid w:val="5EE00F44"/>
    <w:rsid w:val="5F0C4453"/>
    <w:rsid w:val="5F2C6DA0"/>
    <w:rsid w:val="5F365203"/>
    <w:rsid w:val="5F763C52"/>
    <w:rsid w:val="604222DB"/>
    <w:rsid w:val="60CF33ED"/>
    <w:rsid w:val="610D4388"/>
    <w:rsid w:val="61511D74"/>
    <w:rsid w:val="61A32299"/>
    <w:rsid w:val="629C05B3"/>
    <w:rsid w:val="62E95E0E"/>
    <w:rsid w:val="63375FC3"/>
    <w:rsid w:val="635D34AA"/>
    <w:rsid w:val="63AF3C1A"/>
    <w:rsid w:val="63C46A7D"/>
    <w:rsid w:val="64930C5B"/>
    <w:rsid w:val="64A938D5"/>
    <w:rsid w:val="64FA4783"/>
    <w:rsid w:val="67445804"/>
    <w:rsid w:val="676A0772"/>
    <w:rsid w:val="67B360F8"/>
    <w:rsid w:val="687D7594"/>
    <w:rsid w:val="69664248"/>
    <w:rsid w:val="6A2433C0"/>
    <w:rsid w:val="6B2E76F4"/>
    <w:rsid w:val="6B3C0709"/>
    <w:rsid w:val="6B9E50BB"/>
    <w:rsid w:val="6BC8581B"/>
    <w:rsid w:val="6C0D2C56"/>
    <w:rsid w:val="6C26735D"/>
    <w:rsid w:val="6CB379A3"/>
    <w:rsid w:val="6D2C03FF"/>
    <w:rsid w:val="6DB76DA3"/>
    <w:rsid w:val="6DFB123A"/>
    <w:rsid w:val="6E0E5E15"/>
    <w:rsid w:val="6E397216"/>
    <w:rsid w:val="6E623CA3"/>
    <w:rsid w:val="6E9A2587"/>
    <w:rsid w:val="6F7467AA"/>
    <w:rsid w:val="6F8D6807"/>
    <w:rsid w:val="700F7A46"/>
    <w:rsid w:val="708977E5"/>
    <w:rsid w:val="70D91354"/>
    <w:rsid w:val="71D0094B"/>
    <w:rsid w:val="71D2391B"/>
    <w:rsid w:val="72085C39"/>
    <w:rsid w:val="72F90B6A"/>
    <w:rsid w:val="737E4A43"/>
    <w:rsid w:val="73C74EFF"/>
    <w:rsid w:val="73FC461B"/>
    <w:rsid w:val="7407344F"/>
    <w:rsid w:val="743D2739"/>
    <w:rsid w:val="74921F36"/>
    <w:rsid w:val="759F20E6"/>
    <w:rsid w:val="75F414F8"/>
    <w:rsid w:val="765C680F"/>
    <w:rsid w:val="765F46DB"/>
    <w:rsid w:val="77733562"/>
    <w:rsid w:val="77916AC9"/>
    <w:rsid w:val="784E2336"/>
    <w:rsid w:val="78F10C09"/>
    <w:rsid w:val="790A60D8"/>
    <w:rsid w:val="799B048A"/>
    <w:rsid w:val="79EB0D67"/>
    <w:rsid w:val="7A003B49"/>
    <w:rsid w:val="7A1F3E1B"/>
    <w:rsid w:val="7B1C3E9C"/>
    <w:rsid w:val="7B2C76E7"/>
    <w:rsid w:val="7B80249C"/>
    <w:rsid w:val="7C6859E7"/>
    <w:rsid w:val="7C81214D"/>
    <w:rsid w:val="7C8A7DE6"/>
    <w:rsid w:val="7C967EF2"/>
    <w:rsid w:val="7CB35805"/>
    <w:rsid w:val="7DBB094C"/>
    <w:rsid w:val="7DCD5920"/>
    <w:rsid w:val="7DE67168"/>
    <w:rsid w:val="7E3E2EBA"/>
    <w:rsid w:val="7FF3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0" w:firstLineChars="200"/>
      <w:jc w:val="left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50" w:beforeLines="50" w:after="50" w:afterLines="50" w:line="480" w:lineRule="auto"/>
      <w:outlineLvl w:val="0"/>
    </w:pPr>
    <w:rPr>
      <w:rFonts w:eastAsia="宋体" w:asciiTheme="minorAscii" w:hAnsiTheme="minorAscii"/>
      <w:b/>
      <w:bCs/>
      <w:kern w:val="44"/>
      <w:sz w:val="28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4"/>
    <w:link w:val="9"/>
    <w:qFormat/>
    <w:uiPriority w:val="0"/>
    <w:pPr>
      <w:jc w:val="left"/>
    </w:pPr>
    <w:rPr>
      <w:rFonts w:ascii="Times New Roman" w:hAnsi="Times New Roman" w:eastAsia="宋体" w:cs="Times New Roman"/>
      <w:szCs w:val="18"/>
    </w:rPr>
  </w:style>
  <w:style w:type="paragraph" w:styleId="4">
    <w:name w:val="Balloon Text"/>
    <w:basedOn w:val="1"/>
    <w:qFormat/>
    <w:uiPriority w:val="0"/>
    <w:rPr>
      <w:sz w:val="18"/>
    </w:rPr>
  </w:style>
  <w:style w:type="character" w:styleId="6">
    <w:name w:val="endnote reference"/>
    <w:basedOn w:val="5"/>
    <w:qFormat/>
    <w:uiPriority w:val="0"/>
    <w:rPr>
      <w:vertAlign w:val="superscript"/>
    </w:rPr>
  </w:style>
  <w:style w:type="character" w:styleId="7">
    <w:name w:val="footnote reference"/>
    <w:basedOn w:val="6"/>
    <w:qFormat/>
    <w:uiPriority w:val="0"/>
    <w:rPr>
      <w:rFonts w:ascii="Times New Roman" w:hAnsi="Times New Roman" w:eastAsia="宋体"/>
      <w:bCs/>
      <w:sz w:val="20"/>
      <w:szCs w:val="32"/>
      <w:vertAlign w:val="superscript"/>
    </w:rPr>
  </w:style>
  <w:style w:type="character" w:customStyle="1" w:styleId="9">
    <w:name w:val="批注文字 字符"/>
    <w:basedOn w:val="5"/>
    <w:link w:val="3"/>
    <w:semiHidden/>
    <w:qFormat/>
    <w:uiPriority w:val="99"/>
    <w:rPr>
      <w:rFonts w:ascii="Times New Roman" w:hAnsi="Times New Roman" w:eastAsia="宋体" w:cs="Times New Roman"/>
      <w:szCs w:val="18"/>
    </w:rPr>
  </w:style>
  <w:style w:type="paragraph" w:customStyle="1" w:styleId="10">
    <w:name w:val="一级标题"/>
    <w:basedOn w:val="1"/>
    <w:link w:val="11"/>
    <w:qFormat/>
    <w:uiPriority w:val="0"/>
    <w:pPr>
      <w:spacing w:before="156" w:after="156"/>
    </w:pPr>
    <w:rPr>
      <w:rFonts w:ascii="宋体" w:hAnsi="宋体" w:eastAsia="宋体" w:cs="黑体"/>
      <w:b/>
      <w:color w:val="000000"/>
      <w:sz w:val="28"/>
      <w:szCs w:val="44"/>
    </w:rPr>
  </w:style>
  <w:style w:type="character" w:customStyle="1" w:styleId="11">
    <w:name w:val="一级标题 Char"/>
    <w:basedOn w:val="12"/>
    <w:link w:val="10"/>
    <w:qFormat/>
    <w:uiPriority w:val="0"/>
    <w:rPr>
      <w:rFonts w:ascii="宋体" w:hAnsi="宋体" w:eastAsia="宋体" w:cs="黑体"/>
      <w:color w:val="000000"/>
      <w:sz w:val="28"/>
      <w:szCs w:val="44"/>
    </w:rPr>
  </w:style>
  <w:style w:type="character" w:customStyle="1" w:styleId="12">
    <w:name w:val="样式1 Char"/>
    <w:link w:val="13"/>
    <w:qFormat/>
    <w:uiPriority w:val="0"/>
    <w:rPr>
      <w:rFonts w:ascii="宋体" w:hAnsi="宋体" w:eastAsia="宋体" w:cs="黑体"/>
      <w:b/>
      <w:color w:val="000000"/>
      <w:sz w:val="44"/>
      <w:szCs w:val="44"/>
    </w:rPr>
  </w:style>
  <w:style w:type="paragraph" w:customStyle="1" w:styleId="13">
    <w:name w:val="样式1"/>
    <w:basedOn w:val="1"/>
    <w:link w:val="12"/>
    <w:qFormat/>
    <w:uiPriority w:val="0"/>
    <w:pPr>
      <w:widowControl/>
      <w:spacing w:before="50" w:beforeLines="50" w:after="50" w:afterLines="50" w:line="240" w:lineRule="auto"/>
    </w:pPr>
    <w:rPr>
      <w:rFonts w:ascii="宋体" w:hAnsi="宋体" w:eastAsia="宋体" w:cs="黑体"/>
      <w:b/>
      <w:color w:val="000000"/>
      <w:sz w:val="44"/>
      <w:szCs w:val="44"/>
    </w:rPr>
  </w:style>
  <w:style w:type="paragraph" w:customStyle="1" w:styleId="14">
    <w:name w:val="二级标题"/>
    <w:basedOn w:val="1"/>
    <w:link w:val="15"/>
    <w:qFormat/>
    <w:uiPriority w:val="0"/>
    <w:pPr>
      <w:spacing w:line="360" w:lineRule="exact"/>
      <w:ind w:firstLine="74" w:firstLineChars="74"/>
    </w:pPr>
    <w:rPr>
      <w:rFonts w:ascii="宋体" w:hAnsi="宋体" w:eastAsia="宋体" w:cs="Times New Roman"/>
      <w:b/>
      <w:color w:val="000000"/>
      <w:sz w:val="28"/>
      <w:szCs w:val="32"/>
    </w:rPr>
  </w:style>
  <w:style w:type="character" w:customStyle="1" w:styleId="15">
    <w:name w:val="二级标题 Char"/>
    <w:basedOn w:val="16"/>
    <w:link w:val="14"/>
    <w:qFormat/>
    <w:uiPriority w:val="0"/>
    <w:rPr>
      <w:rFonts w:ascii="宋体" w:hAnsi="宋体" w:eastAsia="宋体" w:cs="Times New Roman"/>
      <w:color w:val="000000"/>
      <w:sz w:val="28"/>
      <w:szCs w:val="32"/>
    </w:rPr>
  </w:style>
  <w:style w:type="character" w:customStyle="1" w:styleId="16">
    <w:name w:val="样式2 Char"/>
    <w:link w:val="17"/>
    <w:qFormat/>
    <w:uiPriority w:val="0"/>
    <w:rPr>
      <w:rFonts w:ascii="宋体" w:hAnsi="宋体" w:eastAsia="宋体" w:cs="Times New Roman"/>
      <w:b/>
      <w:color w:val="000000"/>
      <w:sz w:val="32"/>
      <w:szCs w:val="32"/>
    </w:rPr>
  </w:style>
  <w:style w:type="paragraph" w:customStyle="1" w:styleId="17">
    <w:name w:val="样式2"/>
    <w:basedOn w:val="1"/>
    <w:link w:val="16"/>
    <w:qFormat/>
    <w:uiPriority w:val="0"/>
    <w:pPr>
      <w:widowControl/>
      <w:spacing w:before="50" w:beforeLines="50" w:after="50" w:afterLines="50" w:line="240" w:lineRule="auto"/>
      <w:ind w:firstLine="420"/>
      <w:jc w:val="left"/>
    </w:pPr>
    <w:rPr>
      <w:rFonts w:ascii="宋体" w:hAnsi="宋体" w:eastAsia="宋体" w:cs="Times New Roman"/>
      <w:b/>
      <w:color w:val="000000"/>
      <w:sz w:val="32"/>
      <w:szCs w:val="32"/>
    </w:rPr>
  </w:style>
  <w:style w:type="paragraph" w:customStyle="1" w:styleId="18">
    <w:name w:val="三级标题1"/>
    <w:basedOn w:val="1"/>
    <w:link w:val="19"/>
    <w:qFormat/>
    <w:uiPriority w:val="0"/>
    <w:pPr>
      <w:widowControl/>
      <w:autoSpaceDE w:val="0"/>
      <w:autoSpaceDN w:val="0"/>
      <w:adjustRightInd w:val="0"/>
      <w:spacing w:line="360" w:lineRule="auto"/>
      <w:ind w:firstLine="420"/>
      <w:jc w:val="left"/>
    </w:pPr>
    <w:rPr>
      <w:rFonts w:ascii="宋体" w:hAnsi="宋体" w:eastAsia="宋体" w:cs="宋体"/>
      <w:b/>
      <w:bCs/>
      <w:color w:val="000000"/>
      <w:sz w:val="24"/>
      <w:szCs w:val="28"/>
    </w:rPr>
  </w:style>
  <w:style w:type="character" w:customStyle="1" w:styleId="19">
    <w:name w:val="三级标题1 Char"/>
    <w:basedOn w:val="5"/>
    <w:link w:val="18"/>
    <w:qFormat/>
    <w:uiPriority w:val="0"/>
    <w:rPr>
      <w:rFonts w:ascii="宋体" w:hAnsi="宋体" w:eastAsia="宋体" w:cs="宋体"/>
      <w:b/>
      <w:bCs/>
      <w:color w:val="000000"/>
      <w:sz w:val="24"/>
      <w:szCs w:val="28"/>
    </w:rPr>
  </w:style>
  <w:style w:type="paragraph" w:customStyle="1" w:styleId="20">
    <w:name w:val="大标题"/>
    <w:basedOn w:val="1"/>
    <w:link w:val="21"/>
    <w:qFormat/>
    <w:uiPriority w:val="0"/>
    <w:pPr>
      <w:autoSpaceDE w:val="0"/>
      <w:autoSpaceDN w:val="0"/>
      <w:jc w:val="center"/>
    </w:pPr>
    <w:rPr>
      <w:rFonts w:cs="黑体" w:asciiTheme="minorAscii" w:hAnsiTheme="minorAscii"/>
      <w:b/>
      <w:color w:val="000000"/>
      <w:sz w:val="32"/>
      <w:szCs w:val="44"/>
    </w:rPr>
  </w:style>
  <w:style w:type="character" w:customStyle="1" w:styleId="21">
    <w:name w:val="大标题 Char"/>
    <w:basedOn w:val="5"/>
    <w:link w:val="20"/>
    <w:qFormat/>
    <w:uiPriority w:val="0"/>
    <w:rPr>
      <w:rFonts w:cs="黑体" w:asciiTheme="minorAscii" w:hAnsiTheme="minorAscii" w:eastAsiaTheme="minorEastAsia"/>
      <w:b/>
      <w:color w:val="000000"/>
      <w:sz w:val="32"/>
      <w:szCs w:val="44"/>
    </w:rPr>
  </w:style>
  <w:style w:type="character" w:customStyle="1" w:styleId="22">
    <w:name w:val="标题 1 字符"/>
    <w:basedOn w:val="5"/>
    <w:link w:val="2"/>
    <w:qFormat/>
    <w:uiPriority w:val="9"/>
    <w:rPr>
      <w:rFonts w:eastAsia="宋体" w:asciiTheme="minorAscii" w:hAnsiTheme="minorAscii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WPS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2020-10-06T09:56:00Z</dcterms:created>
  <dc:creator>曾润喜 Runxi@UTAustin</dc:creator>
  <cp:lastModifiedBy>曾润喜 Runxi@UTAustin</cp:lastModifiedBy>
  <dcterms:modified xsi:type="dcterms:W3CDTF">2020-10-07T12:23:42Z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